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54423FD3" w14:textId="77777777" w:rsidR="00B02C60" w:rsidRDefault="00B02C60">
      <w:pPr>
        <w:jc w:val="center"/>
        <w:rPr>
          <w:rFonts w:ascii="Arial" w:hAnsi="Arial" w:cs="Arial"/>
          <w:b/>
          <w:sz w:val="16"/>
          <w:szCs w:val="16"/>
        </w:rPr>
      </w:pPr>
    </w:p>
    <w:p w14:paraId="7D11F3C9" w14:textId="77777777" w:rsidR="00FB0687" w:rsidRPr="00CE1411" w:rsidRDefault="00FB0687">
      <w:pPr>
        <w:jc w:val="center"/>
        <w:rPr>
          <w:rFonts w:ascii="Arial" w:hAnsi="Arial" w:cs="Arial"/>
          <w:b/>
          <w:sz w:val="16"/>
          <w:szCs w:val="16"/>
        </w:rPr>
      </w:pPr>
    </w:p>
    <w:p w14:paraId="183B5929" w14:textId="71C71508" w:rsidR="0027798F" w:rsidRDefault="006D7757" w:rsidP="008437B9">
      <w:pPr>
        <w:jc w:val="center"/>
        <w:rPr>
          <w:rFonts w:ascii="Arial" w:hAnsi="Arial" w:cs="Arial"/>
          <w:b/>
        </w:rPr>
      </w:pPr>
      <w:r w:rsidRPr="006D7757">
        <w:rPr>
          <w:rFonts w:ascii="Arial" w:hAnsi="Arial" w:cs="Arial"/>
          <w:b/>
        </w:rPr>
        <w:t>ALTA 35</w:t>
      </w:r>
      <w:r w:rsidR="00F40776">
        <w:rPr>
          <w:rFonts w:ascii="Arial" w:hAnsi="Arial" w:cs="Arial"/>
          <w:b/>
        </w:rPr>
        <w:t>.</w:t>
      </w:r>
      <w:r w:rsidR="00F921D2">
        <w:rPr>
          <w:rFonts w:ascii="Arial" w:hAnsi="Arial" w:cs="Arial"/>
          <w:b/>
        </w:rPr>
        <w:t>1</w:t>
      </w:r>
      <w:r w:rsidRPr="006D7757">
        <w:rPr>
          <w:rFonts w:ascii="Arial" w:hAnsi="Arial" w:cs="Arial"/>
          <w:b/>
        </w:rPr>
        <w:t xml:space="preserve">-06 MINERALS AND OTHER SUBSURFACE SUBSTANCES – </w:t>
      </w:r>
      <w:r w:rsidR="00F40776">
        <w:rPr>
          <w:rFonts w:ascii="Arial" w:hAnsi="Arial" w:cs="Arial"/>
          <w:b/>
        </w:rPr>
        <w:t>IMPROVEMENTS</w:t>
      </w:r>
      <w:r w:rsidRPr="006D7757">
        <w:rPr>
          <w:rFonts w:ascii="Arial" w:hAnsi="Arial" w:cs="Arial"/>
          <w:b/>
        </w:rPr>
        <w:t xml:space="preserve"> ENDORSEMENT</w:t>
      </w:r>
    </w:p>
    <w:p w14:paraId="4A427198" w14:textId="77777777" w:rsidR="00325419" w:rsidRDefault="00325419" w:rsidP="008437B9">
      <w:pPr>
        <w:jc w:val="center"/>
        <w:rPr>
          <w:rFonts w:ascii="Arial" w:hAnsi="Arial" w:cs="Arial"/>
          <w:bCs/>
          <w:sz w:val="20"/>
        </w:rPr>
      </w:pPr>
    </w:p>
    <w:p w14:paraId="226AE3E4" w14:textId="77777777" w:rsidR="00FB0687" w:rsidRDefault="00FB0687" w:rsidP="008437B9">
      <w:pPr>
        <w:jc w:val="center"/>
        <w:rPr>
          <w:rFonts w:ascii="Arial" w:hAnsi="Arial" w:cs="Arial"/>
          <w:bCs/>
          <w:sz w:val="20"/>
        </w:rPr>
      </w:pPr>
    </w:p>
    <w:p w14:paraId="5C4D615B" w14:textId="47615D40" w:rsidR="00C82369" w:rsidRDefault="008810D9" w:rsidP="00DC352F">
      <w:pPr>
        <w:jc w:val="both"/>
        <w:rPr>
          <w:rFonts w:ascii="Arial" w:hAnsi="Arial" w:cs="Arial"/>
          <w:bCs/>
          <w:sz w:val="20"/>
        </w:rPr>
      </w:pPr>
      <w:r w:rsidRPr="00AA400D">
        <w:rPr>
          <w:rFonts w:ascii="Arial" w:hAnsi="Arial" w:cs="Arial"/>
          <w:b/>
          <w:sz w:val="20"/>
        </w:rPr>
        <w:t>Attached to and made a part of policy number</w:t>
      </w:r>
      <w:r w:rsidRPr="008810D9">
        <w:rPr>
          <w:rFonts w:ascii="Arial" w:hAnsi="Arial" w:cs="Arial"/>
          <w:bCs/>
          <w:sz w:val="20"/>
        </w:rPr>
        <w:t xml:space="preserve">: </w:t>
      </w:r>
      <w:r w:rsidR="00534816">
        <w:rPr>
          <w:rFonts w:ascii="Arial" w:hAnsi="Arial" w:cs="Arial"/>
          <w:bCs/>
          <w:sz w:val="20"/>
          <w:u w:val="single"/>
        </w:rPr>
        <w:tab/>
      </w:r>
      <w:r w:rsidR="00534816">
        <w:rPr>
          <w:rFonts w:ascii="Arial" w:hAnsi="Arial" w:cs="Arial"/>
          <w:bCs/>
          <w:sz w:val="20"/>
          <w:u w:val="single"/>
        </w:rPr>
        <w:tab/>
      </w:r>
      <w:r w:rsidR="00534816">
        <w:rPr>
          <w:rFonts w:ascii="Arial" w:hAnsi="Arial" w:cs="Arial"/>
          <w:bCs/>
          <w:sz w:val="20"/>
          <w:u w:val="single"/>
        </w:rPr>
        <w:tab/>
      </w:r>
      <w:r w:rsidR="00534816">
        <w:rPr>
          <w:rFonts w:ascii="Arial" w:hAnsi="Arial" w:cs="Arial"/>
          <w:bCs/>
          <w:sz w:val="20"/>
          <w:u w:val="single"/>
        </w:rPr>
        <w:tab/>
      </w:r>
      <w:r w:rsidR="00534816">
        <w:rPr>
          <w:rFonts w:ascii="Arial" w:hAnsi="Arial" w:cs="Arial"/>
          <w:bCs/>
          <w:sz w:val="20"/>
          <w:u w:val="single"/>
        </w:rPr>
        <w:tab/>
      </w:r>
      <w:r w:rsidR="00534816">
        <w:rPr>
          <w:rFonts w:ascii="Arial" w:hAnsi="Arial" w:cs="Arial"/>
          <w:bCs/>
          <w:sz w:val="20"/>
          <w:u w:val="single"/>
        </w:rPr>
        <w:tab/>
      </w:r>
      <w:r w:rsidR="00534816">
        <w:rPr>
          <w:rFonts w:ascii="Arial" w:hAnsi="Arial" w:cs="Arial"/>
          <w:bCs/>
          <w:sz w:val="20"/>
          <w:u w:val="single"/>
        </w:rPr>
        <w:tab/>
      </w:r>
    </w:p>
    <w:p w14:paraId="74854E24" w14:textId="77777777" w:rsidR="00AB72EA" w:rsidRDefault="00AB72EA" w:rsidP="00AB72EA">
      <w:pPr>
        <w:jc w:val="both"/>
        <w:rPr>
          <w:rFonts w:ascii="Arial" w:hAnsi="Arial" w:cs="Arial"/>
          <w:sz w:val="20"/>
        </w:rPr>
      </w:pPr>
    </w:p>
    <w:p w14:paraId="776D034A" w14:textId="77777777" w:rsidR="00FB0687" w:rsidRPr="00FB0687" w:rsidRDefault="00FB0687" w:rsidP="00FB0687">
      <w:pPr>
        <w:ind w:left="720" w:hanging="720"/>
        <w:jc w:val="both"/>
        <w:rPr>
          <w:rFonts w:ascii="Arial" w:hAnsi="Arial" w:cs="Arial"/>
          <w:bCs/>
          <w:sz w:val="20"/>
          <w:szCs w:val="20"/>
        </w:rPr>
      </w:pPr>
      <w:r w:rsidRPr="00FB0687">
        <w:rPr>
          <w:rFonts w:ascii="Arial" w:hAnsi="Arial" w:cs="Arial"/>
          <w:bCs/>
          <w:sz w:val="20"/>
          <w:szCs w:val="20"/>
        </w:rPr>
        <w:t>1.</w:t>
      </w:r>
      <w:r w:rsidRPr="00FB0687">
        <w:rPr>
          <w:rFonts w:ascii="Arial" w:hAnsi="Arial" w:cs="Arial"/>
          <w:bCs/>
          <w:sz w:val="20"/>
          <w:szCs w:val="20"/>
        </w:rPr>
        <w:tab/>
        <w:t>The insurance provided by this endorsement is subject to the exclusion in Section 4 of this endorsement; and the Exclusions from Coverage, the Exceptions from Coverage contained in Schedule B, and the Conditions in the policy.</w:t>
      </w:r>
    </w:p>
    <w:p w14:paraId="48E57967" w14:textId="77777777" w:rsidR="00FB0687" w:rsidRDefault="00FB0687" w:rsidP="00FB0687">
      <w:pPr>
        <w:jc w:val="both"/>
        <w:rPr>
          <w:rFonts w:ascii="Arial" w:hAnsi="Arial" w:cs="Arial"/>
          <w:bCs/>
          <w:sz w:val="20"/>
          <w:szCs w:val="20"/>
        </w:rPr>
      </w:pPr>
    </w:p>
    <w:p w14:paraId="2C242A7D" w14:textId="523EA8FB" w:rsidR="00FB0687" w:rsidRPr="00FB0687" w:rsidRDefault="00FB0687" w:rsidP="00FB0687">
      <w:pPr>
        <w:ind w:left="720" w:hanging="720"/>
        <w:jc w:val="both"/>
        <w:rPr>
          <w:rFonts w:ascii="Arial" w:hAnsi="Arial" w:cs="Arial"/>
          <w:bCs/>
          <w:sz w:val="20"/>
          <w:szCs w:val="20"/>
        </w:rPr>
      </w:pPr>
      <w:r w:rsidRPr="00FB0687">
        <w:rPr>
          <w:rFonts w:ascii="Arial" w:hAnsi="Arial" w:cs="Arial"/>
          <w:bCs/>
          <w:sz w:val="20"/>
          <w:szCs w:val="20"/>
        </w:rPr>
        <w:t>2.</w:t>
      </w:r>
      <w:r w:rsidRPr="00FB0687">
        <w:rPr>
          <w:rFonts w:ascii="Arial" w:hAnsi="Arial" w:cs="Arial"/>
          <w:bCs/>
          <w:sz w:val="20"/>
          <w:szCs w:val="20"/>
        </w:rPr>
        <w:tab/>
        <w:t xml:space="preserve">For purposes of this endorsement only, “Improvement” means a building, structure located on the surface of the Land, and any paved road, walkway, parking area, driveway, or curb, affixed to the Land at Date of Policy and that by law constitutes real property, but excluding any crops, landscaping, lawn, shrubbery, or trees. </w:t>
      </w:r>
    </w:p>
    <w:p w14:paraId="15A5B0CA" w14:textId="77777777" w:rsidR="00FB0687" w:rsidRDefault="00FB0687" w:rsidP="00FB0687">
      <w:pPr>
        <w:jc w:val="both"/>
        <w:rPr>
          <w:rFonts w:ascii="Arial" w:hAnsi="Arial" w:cs="Arial"/>
          <w:bCs/>
          <w:sz w:val="20"/>
          <w:szCs w:val="20"/>
        </w:rPr>
      </w:pPr>
    </w:p>
    <w:p w14:paraId="027ED9F3" w14:textId="266F448E" w:rsidR="00FB0687" w:rsidRPr="00FB0687" w:rsidRDefault="00FB0687" w:rsidP="00FB0687">
      <w:pPr>
        <w:ind w:left="720" w:hanging="720"/>
        <w:jc w:val="both"/>
        <w:rPr>
          <w:rFonts w:ascii="Arial" w:hAnsi="Arial" w:cs="Arial"/>
          <w:bCs/>
          <w:sz w:val="20"/>
          <w:szCs w:val="20"/>
        </w:rPr>
      </w:pPr>
      <w:r w:rsidRPr="00FB0687">
        <w:rPr>
          <w:rFonts w:ascii="Arial" w:hAnsi="Arial" w:cs="Arial"/>
          <w:bCs/>
          <w:sz w:val="20"/>
          <w:szCs w:val="20"/>
        </w:rPr>
        <w:t>3.</w:t>
      </w:r>
      <w:r w:rsidRPr="00FB0687">
        <w:rPr>
          <w:rFonts w:ascii="Arial" w:hAnsi="Arial" w:cs="Arial"/>
          <w:bCs/>
          <w:sz w:val="20"/>
          <w:szCs w:val="20"/>
        </w:rPr>
        <w:tab/>
        <w:t>The Company insures against loss or damage sustained by the Insured by reason of the enforced removal or alteration of any Improvement, resulting from the future exercise of any right existing at Date of Policy to use the surface of the Land for the extraction or development of minerals or any other subsurface substances excepted from the description of the Land or excepted in Schedule B.</w:t>
      </w:r>
    </w:p>
    <w:p w14:paraId="7C6D53EB" w14:textId="77777777" w:rsidR="00FB0687" w:rsidRDefault="00FB0687" w:rsidP="00FB0687">
      <w:pPr>
        <w:jc w:val="both"/>
        <w:rPr>
          <w:rFonts w:ascii="Arial" w:hAnsi="Arial" w:cs="Arial"/>
          <w:bCs/>
          <w:sz w:val="20"/>
          <w:szCs w:val="20"/>
        </w:rPr>
      </w:pPr>
    </w:p>
    <w:p w14:paraId="577BFF44" w14:textId="107BE783" w:rsidR="00FB0687" w:rsidRPr="00FB0687" w:rsidRDefault="00FB0687" w:rsidP="00FB0687">
      <w:pPr>
        <w:ind w:left="720" w:hanging="720"/>
        <w:jc w:val="both"/>
        <w:rPr>
          <w:rFonts w:ascii="Arial" w:hAnsi="Arial" w:cs="Arial"/>
          <w:bCs/>
          <w:sz w:val="20"/>
          <w:szCs w:val="20"/>
        </w:rPr>
      </w:pPr>
      <w:r w:rsidRPr="00FB0687">
        <w:rPr>
          <w:rFonts w:ascii="Arial" w:hAnsi="Arial" w:cs="Arial"/>
          <w:bCs/>
          <w:sz w:val="20"/>
          <w:szCs w:val="20"/>
        </w:rPr>
        <w:t>4.</w:t>
      </w:r>
      <w:r w:rsidRPr="00FB0687">
        <w:rPr>
          <w:rFonts w:ascii="Arial" w:hAnsi="Arial" w:cs="Arial"/>
          <w:bCs/>
          <w:sz w:val="20"/>
          <w:szCs w:val="20"/>
        </w:rPr>
        <w:tab/>
        <w:t>This endorsement does not insure against loss or damage (and the Company will not pay costs, attorneys' fees, or expenses) resulting from:</w:t>
      </w:r>
    </w:p>
    <w:p w14:paraId="787B0452" w14:textId="77777777" w:rsidR="00FB0687" w:rsidRDefault="00FB0687" w:rsidP="00FB0687">
      <w:pPr>
        <w:jc w:val="both"/>
        <w:rPr>
          <w:rFonts w:ascii="Arial" w:hAnsi="Arial" w:cs="Arial"/>
          <w:bCs/>
          <w:sz w:val="20"/>
          <w:szCs w:val="20"/>
        </w:rPr>
      </w:pPr>
    </w:p>
    <w:p w14:paraId="4AFCB231" w14:textId="09395B94" w:rsidR="00FB0687" w:rsidRPr="00FB0687" w:rsidRDefault="00FB0687" w:rsidP="00FB0687">
      <w:pPr>
        <w:ind w:left="720"/>
        <w:jc w:val="both"/>
        <w:rPr>
          <w:rFonts w:ascii="Arial" w:hAnsi="Arial" w:cs="Arial"/>
          <w:bCs/>
          <w:sz w:val="20"/>
          <w:szCs w:val="20"/>
        </w:rPr>
      </w:pPr>
      <w:r w:rsidRPr="00FB0687">
        <w:rPr>
          <w:rFonts w:ascii="Arial" w:hAnsi="Arial" w:cs="Arial"/>
          <w:bCs/>
          <w:sz w:val="20"/>
          <w:szCs w:val="20"/>
        </w:rPr>
        <w:t>a.</w:t>
      </w:r>
      <w:r w:rsidRPr="00FB0687">
        <w:rPr>
          <w:rFonts w:ascii="Arial" w:hAnsi="Arial" w:cs="Arial"/>
          <w:bCs/>
          <w:sz w:val="20"/>
          <w:szCs w:val="20"/>
        </w:rPr>
        <w:tab/>
        <w:t>contamination, explosion, fire, flooding, vibration, fracturing, earthquake or subsidence; [or]</w:t>
      </w:r>
    </w:p>
    <w:p w14:paraId="17B1CE67" w14:textId="77777777" w:rsidR="00FB0687" w:rsidRDefault="00FB0687" w:rsidP="00FB0687">
      <w:pPr>
        <w:ind w:left="720"/>
        <w:jc w:val="both"/>
        <w:rPr>
          <w:rFonts w:ascii="Arial" w:hAnsi="Arial" w:cs="Arial"/>
          <w:bCs/>
          <w:sz w:val="20"/>
          <w:szCs w:val="20"/>
        </w:rPr>
      </w:pPr>
    </w:p>
    <w:p w14:paraId="5B4CCE27" w14:textId="2261A98A" w:rsidR="00FB0687" w:rsidRPr="00FB0687" w:rsidRDefault="00FB0687" w:rsidP="00FB0687">
      <w:pPr>
        <w:ind w:left="1440" w:hanging="720"/>
        <w:jc w:val="both"/>
        <w:rPr>
          <w:rFonts w:ascii="Arial" w:hAnsi="Arial" w:cs="Arial"/>
          <w:bCs/>
          <w:sz w:val="20"/>
          <w:szCs w:val="20"/>
        </w:rPr>
      </w:pPr>
      <w:r w:rsidRPr="00FB0687">
        <w:rPr>
          <w:rFonts w:ascii="Arial" w:hAnsi="Arial" w:cs="Arial"/>
          <w:bCs/>
          <w:sz w:val="20"/>
          <w:szCs w:val="20"/>
        </w:rPr>
        <w:t>b.</w:t>
      </w:r>
      <w:r w:rsidRPr="00FB0687">
        <w:rPr>
          <w:rFonts w:ascii="Arial" w:hAnsi="Arial" w:cs="Arial"/>
          <w:bCs/>
          <w:sz w:val="20"/>
          <w:szCs w:val="20"/>
        </w:rPr>
        <w:tab/>
        <w:t xml:space="preserve">negligence by a person or an Entity exercising a right to extract or develop minerals or other subsurface substances [; or </w:t>
      </w:r>
    </w:p>
    <w:p w14:paraId="3709ADFD" w14:textId="77777777" w:rsidR="00FB0687" w:rsidRDefault="00FB0687" w:rsidP="00FB0687">
      <w:pPr>
        <w:ind w:left="720"/>
        <w:jc w:val="both"/>
        <w:rPr>
          <w:rFonts w:ascii="Arial" w:hAnsi="Arial" w:cs="Arial"/>
          <w:bCs/>
          <w:sz w:val="20"/>
          <w:szCs w:val="20"/>
        </w:rPr>
      </w:pPr>
    </w:p>
    <w:p w14:paraId="2C8D8B88" w14:textId="1B4812E5" w:rsidR="00FB0687" w:rsidRPr="00FB0687" w:rsidRDefault="00FB0687" w:rsidP="00FB0687">
      <w:pPr>
        <w:ind w:left="720"/>
        <w:jc w:val="both"/>
        <w:rPr>
          <w:rFonts w:ascii="Arial" w:hAnsi="Arial" w:cs="Arial"/>
          <w:bCs/>
          <w:sz w:val="20"/>
          <w:szCs w:val="20"/>
        </w:rPr>
      </w:pPr>
      <w:r w:rsidRPr="00FB0687">
        <w:rPr>
          <w:rFonts w:ascii="Arial" w:hAnsi="Arial" w:cs="Arial"/>
          <w:bCs/>
          <w:sz w:val="20"/>
          <w:szCs w:val="20"/>
        </w:rPr>
        <w:t>c.</w:t>
      </w:r>
      <w:r w:rsidRPr="00FB0687">
        <w:rPr>
          <w:rFonts w:ascii="Arial" w:hAnsi="Arial" w:cs="Arial"/>
          <w:bCs/>
          <w:sz w:val="20"/>
          <w:szCs w:val="20"/>
        </w:rPr>
        <w:tab/>
        <w:t>the exercise of the rights described in (                       )]. *</w:t>
      </w:r>
    </w:p>
    <w:p w14:paraId="6D083DB1" w14:textId="77777777" w:rsidR="00FB0687" w:rsidRDefault="00FB0687" w:rsidP="00FB0687">
      <w:pPr>
        <w:ind w:left="720"/>
        <w:jc w:val="both"/>
        <w:rPr>
          <w:rFonts w:ascii="Arial" w:hAnsi="Arial" w:cs="Arial"/>
          <w:bCs/>
          <w:sz w:val="20"/>
          <w:szCs w:val="20"/>
        </w:rPr>
      </w:pPr>
    </w:p>
    <w:p w14:paraId="4D2EA052" w14:textId="5E5E91B2" w:rsidR="00FB0687" w:rsidRPr="00FB0687" w:rsidRDefault="00FB0687" w:rsidP="00FB0687">
      <w:pPr>
        <w:ind w:left="1440"/>
        <w:jc w:val="both"/>
        <w:rPr>
          <w:rFonts w:ascii="Arial" w:hAnsi="Arial" w:cs="Arial"/>
          <w:bCs/>
          <w:sz w:val="20"/>
          <w:szCs w:val="20"/>
        </w:rPr>
      </w:pPr>
      <w:r w:rsidRPr="00FB0687">
        <w:rPr>
          <w:rFonts w:ascii="Arial" w:hAnsi="Arial" w:cs="Arial"/>
          <w:bCs/>
          <w:sz w:val="20"/>
          <w:szCs w:val="20"/>
        </w:rPr>
        <w:t>* Instructional note: identify the interest excepted from the description of the Land in Schedule A or excepted in Schedule B that you intend to exclude from this coverage.</w:t>
      </w:r>
    </w:p>
    <w:p w14:paraId="7237B66E" w14:textId="77777777" w:rsidR="00FB0687" w:rsidRDefault="00FB0687" w:rsidP="00FB0687">
      <w:pPr>
        <w:jc w:val="both"/>
        <w:rPr>
          <w:rFonts w:ascii="Arial" w:hAnsi="Arial" w:cs="Arial"/>
          <w:bCs/>
          <w:sz w:val="20"/>
          <w:szCs w:val="20"/>
        </w:rPr>
      </w:pPr>
    </w:p>
    <w:p w14:paraId="10C9414F" w14:textId="096491BD" w:rsidR="00FB0687" w:rsidRPr="00FB0687" w:rsidRDefault="00FB0687" w:rsidP="00FB0687">
      <w:pPr>
        <w:jc w:val="both"/>
        <w:rPr>
          <w:rFonts w:ascii="Arial" w:hAnsi="Arial" w:cs="Arial"/>
          <w:bCs/>
          <w:sz w:val="20"/>
          <w:szCs w:val="20"/>
        </w:rPr>
      </w:pPr>
      <w:r w:rsidRPr="00FB0687">
        <w:rPr>
          <w:rFonts w:ascii="Arial" w:hAnsi="Arial" w:cs="Arial"/>
          <w:bCs/>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25B3E3EF" w14:textId="77777777" w:rsidR="00C5715C" w:rsidRDefault="00C5715C" w:rsidP="00AA400D">
      <w:pPr>
        <w:jc w:val="both"/>
        <w:rPr>
          <w:rFonts w:ascii="Arial" w:hAnsi="Arial" w:cs="Arial"/>
          <w:sz w:val="20"/>
          <w:szCs w:val="20"/>
        </w:rPr>
      </w:pPr>
    </w:p>
    <w:p w14:paraId="1B615FDA" w14:textId="77777777" w:rsidR="00FB0687" w:rsidRPr="00FB0687" w:rsidRDefault="00FB0687" w:rsidP="00AA400D">
      <w:pPr>
        <w:jc w:val="both"/>
        <w:rPr>
          <w:rFonts w:ascii="Arial" w:hAnsi="Arial" w:cs="Arial"/>
          <w:sz w:val="20"/>
          <w:szCs w:val="20"/>
        </w:rPr>
      </w:pPr>
    </w:p>
    <w:p w14:paraId="47A561AA" w14:textId="77777777" w:rsidR="00575624" w:rsidRPr="00FB0687" w:rsidRDefault="00575624" w:rsidP="00575624">
      <w:pPr>
        <w:jc w:val="both"/>
        <w:rPr>
          <w:rFonts w:ascii="Arial" w:hAnsi="Arial" w:cs="Arial"/>
          <w:sz w:val="20"/>
          <w:szCs w:val="20"/>
        </w:rPr>
      </w:pPr>
      <w:r w:rsidRPr="00FB0687">
        <w:rPr>
          <w:rFonts w:ascii="Arial" w:hAnsi="Arial" w:cs="Arial"/>
          <w:sz w:val="20"/>
          <w:szCs w:val="20"/>
        </w:rPr>
        <w:t>IN WITNESS WHEREOF the Company has caused its corporate name and seal to be hereunto affixed by</w:t>
      </w:r>
    </w:p>
    <w:p w14:paraId="69ADD9AE" w14:textId="4D84D8AE" w:rsidR="006D7757" w:rsidRPr="00FB0687" w:rsidRDefault="00575624" w:rsidP="00F7187F">
      <w:pPr>
        <w:jc w:val="both"/>
        <w:rPr>
          <w:rFonts w:ascii="Arial" w:hAnsi="Arial" w:cs="Arial"/>
          <w:sz w:val="20"/>
          <w:szCs w:val="20"/>
        </w:rPr>
      </w:pPr>
      <w:r w:rsidRPr="00FB0687">
        <w:rPr>
          <w:rFonts w:ascii="Arial" w:hAnsi="Arial" w:cs="Arial"/>
          <w:sz w:val="20"/>
          <w:szCs w:val="20"/>
        </w:rPr>
        <w:t xml:space="preserve">its duly authorized officers on the </w:t>
      </w:r>
      <w:r w:rsidRPr="00FB0687">
        <w:rPr>
          <w:rFonts w:ascii="Arial" w:hAnsi="Arial" w:cs="Arial"/>
          <w:sz w:val="20"/>
          <w:szCs w:val="20"/>
          <w:u w:val="single"/>
        </w:rPr>
        <w:tab/>
      </w:r>
      <w:r w:rsidRPr="00FB0687">
        <w:rPr>
          <w:rFonts w:ascii="Arial" w:hAnsi="Arial" w:cs="Arial"/>
          <w:sz w:val="20"/>
          <w:szCs w:val="20"/>
        </w:rPr>
        <w:t>day of</w:t>
      </w:r>
      <w:r w:rsidRPr="00FB0687">
        <w:rPr>
          <w:rFonts w:ascii="Arial" w:hAnsi="Arial" w:cs="Arial"/>
          <w:sz w:val="20"/>
          <w:szCs w:val="20"/>
          <w:u w:val="single"/>
        </w:rPr>
        <w:tab/>
      </w:r>
      <w:r w:rsidRPr="00FB0687">
        <w:rPr>
          <w:rFonts w:ascii="Arial" w:hAnsi="Arial" w:cs="Arial"/>
          <w:sz w:val="20"/>
          <w:szCs w:val="20"/>
          <w:u w:val="single"/>
        </w:rPr>
        <w:tab/>
      </w:r>
      <w:r w:rsidRPr="00FB0687">
        <w:rPr>
          <w:rFonts w:ascii="Arial" w:hAnsi="Arial" w:cs="Arial"/>
          <w:sz w:val="20"/>
          <w:szCs w:val="20"/>
          <w:u w:val="single"/>
        </w:rPr>
        <w:tab/>
      </w:r>
      <w:r w:rsidRPr="00FB0687">
        <w:rPr>
          <w:rFonts w:ascii="Arial" w:hAnsi="Arial" w:cs="Arial"/>
          <w:sz w:val="20"/>
          <w:szCs w:val="20"/>
        </w:rPr>
        <w:t>, 20</w:t>
      </w:r>
      <w:r w:rsidRPr="00FB0687">
        <w:rPr>
          <w:rFonts w:ascii="Arial" w:hAnsi="Arial" w:cs="Arial"/>
          <w:sz w:val="20"/>
          <w:szCs w:val="20"/>
          <w:u w:val="single"/>
        </w:rPr>
        <w:tab/>
      </w:r>
      <w:r w:rsidRPr="00FB0687">
        <w:rPr>
          <w:rFonts w:ascii="Arial" w:hAnsi="Arial" w:cs="Arial"/>
          <w:sz w:val="20"/>
          <w:szCs w:val="20"/>
        </w:rPr>
        <w:t>.</w:t>
      </w:r>
    </w:p>
    <w:p w14:paraId="022EEA8E" w14:textId="77777777" w:rsidR="008437B9" w:rsidRPr="006D7757" w:rsidRDefault="008437B9" w:rsidP="00F7187F">
      <w:pPr>
        <w:jc w:val="both"/>
        <w:rPr>
          <w:rFonts w:ascii="Arial" w:hAnsi="Arial" w:cs="Arial"/>
          <w:sz w:val="18"/>
          <w:szCs w:val="18"/>
        </w:rPr>
        <w:sectPr w:rsidR="008437B9" w:rsidRPr="006D7757">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AF3052" w:rsidRPr="00DB6F6B" w14:paraId="54633BD4"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AF3052" w:rsidRPr="0084617D" w14:paraId="4B53FB49" w14:textId="77777777" w:rsidTr="00986EB0">
              <w:trPr>
                <w:cantSplit/>
                <w:trHeight w:hRule="exact" w:val="720"/>
              </w:trPr>
              <w:tc>
                <w:tcPr>
                  <w:tcW w:w="3960" w:type="dxa"/>
                  <w:tcBorders>
                    <w:top w:val="nil"/>
                  </w:tcBorders>
                  <w:shd w:val="clear" w:color="auto" w:fill="auto"/>
                </w:tcPr>
                <w:p w14:paraId="02D20693" w14:textId="77777777" w:rsidR="00AF3052" w:rsidRDefault="00AF3052" w:rsidP="00986EB0">
                  <w:pPr>
                    <w:pStyle w:val="BodyText3"/>
                    <w:rPr>
                      <w:sz w:val="18"/>
                      <w:szCs w:val="18"/>
                    </w:rPr>
                  </w:pPr>
                  <w:r w:rsidRPr="0084617D">
                    <w:rPr>
                      <w:sz w:val="18"/>
                      <w:szCs w:val="18"/>
                    </w:rPr>
                    <w:lastRenderedPageBreak/>
                    <w:t>Countersigned by:</w:t>
                  </w:r>
                </w:p>
                <w:p w14:paraId="4E52E7AE" w14:textId="77777777" w:rsidR="00AF3052" w:rsidRDefault="00AF3052" w:rsidP="00986EB0">
                  <w:pPr>
                    <w:pStyle w:val="BodyText3"/>
                    <w:rPr>
                      <w:sz w:val="18"/>
                      <w:szCs w:val="18"/>
                    </w:rPr>
                  </w:pPr>
                </w:p>
                <w:p w14:paraId="5D8ED37B" w14:textId="77777777" w:rsidR="00AF3052" w:rsidRPr="0084617D" w:rsidRDefault="00AF3052" w:rsidP="00986EB0">
                  <w:pPr>
                    <w:pStyle w:val="BodyText3"/>
                    <w:rPr>
                      <w:sz w:val="18"/>
                      <w:szCs w:val="18"/>
                    </w:rPr>
                  </w:pPr>
                </w:p>
              </w:tc>
            </w:tr>
            <w:tr w:rsidR="00AF3052" w:rsidRPr="0084617D" w14:paraId="39A399C5" w14:textId="77777777" w:rsidTr="00986EB0">
              <w:trPr>
                <w:cantSplit/>
                <w:trHeight w:hRule="exact" w:val="720"/>
              </w:trPr>
              <w:tc>
                <w:tcPr>
                  <w:tcW w:w="3960" w:type="dxa"/>
                  <w:shd w:val="clear" w:color="auto" w:fill="auto"/>
                </w:tcPr>
                <w:p w14:paraId="6FDC050B" w14:textId="77777777" w:rsidR="00AF3052" w:rsidRDefault="00AF3052" w:rsidP="00986EB0">
                  <w:pPr>
                    <w:pStyle w:val="BodyText3"/>
                    <w:rPr>
                      <w:sz w:val="18"/>
                      <w:szCs w:val="18"/>
                    </w:rPr>
                  </w:pPr>
                  <w:r w:rsidRPr="0084617D">
                    <w:rPr>
                      <w:sz w:val="18"/>
                      <w:szCs w:val="18"/>
                    </w:rPr>
                    <w:t>Authorized Countersignature</w:t>
                  </w:r>
                </w:p>
                <w:p w14:paraId="66BA7BEB" w14:textId="77777777" w:rsidR="00AF3052" w:rsidRDefault="00AF3052" w:rsidP="00986EB0">
                  <w:pPr>
                    <w:pStyle w:val="BodyText3"/>
                    <w:rPr>
                      <w:sz w:val="18"/>
                      <w:szCs w:val="18"/>
                    </w:rPr>
                  </w:pPr>
                </w:p>
                <w:p w14:paraId="1B30C934" w14:textId="77777777" w:rsidR="00AF3052" w:rsidRPr="0084617D" w:rsidRDefault="00AF3052" w:rsidP="00986EB0">
                  <w:pPr>
                    <w:pStyle w:val="BodyText3"/>
                    <w:rPr>
                      <w:sz w:val="18"/>
                      <w:szCs w:val="18"/>
                    </w:rPr>
                  </w:pPr>
                </w:p>
              </w:tc>
            </w:tr>
            <w:tr w:rsidR="00AF3052" w:rsidRPr="0084617D" w14:paraId="2148EBD9" w14:textId="77777777" w:rsidTr="00986EB0">
              <w:trPr>
                <w:cantSplit/>
                <w:trHeight w:hRule="exact" w:val="720"/>
              </w:trPr>
              <w:tc>
                <w:tcPr>
                  <w:tcW w:w="3960" w:type="dxa"/>
                  <w:tcBorders>
                    <w:bottom w:val="single" w:sz="4" w:space="0" w:color="auto"/>
                  </w:tcBorders>
                  <w:shd w:val="clear" w:color="auto" w:fill="auto"/>
                </w:tcPr>
                <w:p w14:paraId="544EF827" w14:textId="77777777" w:rsidR="00AF3052" w:rsidRDefault="00AF3052" w:rsidP="00986EB0">
                  <w:pPr>
                    <w:pStyle w:val="BodyText3"/>
                    <w:rPr>
                      <w:sz w:val="18"/>
                      <w:szCs w:val="18"/>
                    </w:rPr>
                  </w:pPr>
                  <w:r w:rsidRPr="0084617D">
                    <w:rPr>
                      <w:sz w:val="18"/>
                      <w:szCs w:val="18"/>
                    </w:rPr>
                    <w:t>Company Name</w:t>
                  </w:r>
                </w:p>
                <w:p w14:paraId="7492C4FC" w14:textId="77777777" w:rsidR="00AF3052" w:rsidRDefault="00AF3052" w:rsidP="00986EB0">
                  <w:pPr>
                    <w:pStyle w:val="BodyText3"/>
                    <w:rPr>
                      <w:sz w:val="18"/>
                      <w:szCs w:val="18"/>
                    </w:rPr>
                  </w:pPr>
                </w:p>
                <w:p w14:paraId="3D9BE910" w14:textId="77777777" w:rsidR="00AF3052" w:rsidRPr="0084617D" w:rsidRDefault="00AF3052" w:rsidP="00986EB0">
                  <w:pPr>
                    <w:pStyle w:val="BodyText3"/>
                    <w:rPr>
                      <w:sz w:val="18"/>
                      <w:szCs w:val="18"/>
                    </w:rPr>
                  </w:pPr>
                </w:p>
              </w:tc>
            </w:tr>
            <w:tr w:rsidR="00AF3052" w:rsidRPr="0084617D" w14:paraId="2D86EF76" w14:textId="77777777" w:rsidTr="00986EB0">
              <w:trPr>
                <w:cantSplit/>
                <w:trHeight w:hRule="exact" w:val="720"/>
              </w:trPr>
              <w:tc>
                <w:tcPr>
                  <w:tcW w:w="3960" w:type="dxa"/>
                  <w:tcBorders>
                    <w:bottom w:val="nil"/>
                  </w:tcBorders>
                  <w:shd w:val="clear" w:color="auto" w:fill="auto"/>
                </w:tcPr>
                <w:p w14:paraId="058C9FEE" w14:textId="77777777" w:rsidR="00AF3052" w:rsidRDefault="00AF3052" w:rsidP="00986EB0">
                  <w:pPr>
                    <w:pStyle w:val="BodyText3"/>
                    <w:rPr>
                      <w:sz w:val="18"/>
                      <w:szCs w:val="18"/>
                    </w:rPr>
                  </w:pPr>
                  <w:r w:rsidRPr="0084617D">
                    <w:rPr>
                      <w:sz w:val="18"/>
                      <w:szCs w:val="18"/>
                    </w:rPr>
                    <w:t>City, State</w:t>
                  </w:r>
                </w:p>
                <w:p w14:paraId="7EE0147F" w14:textId="77777777" w:rsidR="00AF3052" w:rsidRDefault="00AF3052" w:rsidP="00986EB0">
                  <w:pPr>
                    <w:pStyle w:val="BodyText3"/>
                    <w:rPr>
                      <w:sz w:val="18"/>
                      <w:szCs w:val="18"/>
                    </w:rPr>
                  </w:pPr>
                </w:p>
                <w:p w14:paraId="757F3E53" w14:textId="77777777" w:rsidR="00AF3052" w:rsidRPr="0084617D" w:rsidRDefault="00AF3052" w:rsidP="00986EB0">
                  <w:pPr>
                    <w:pStyle w:val="BodyText3"/>
                    <w:rPr>
                      <w:sz w:val="18"/>
                      <w:szCs w:val="18"/>
                    </w:rPr>
                  </w:pPr>
                </w:p>
              </w:tc>
            </w:tr>
          </w:tbl>
          <w:p w14:paraId="2C9D5EB4" w14:textId="77777777" w:rsidR="00AF3052" w:rsidRPr="00DB6F6B" w:rsidRDefault="00AF3052" w:rsidP="00986EB0">
            <w:pPr>
              <w:tabs>
                <w:tab w:val="left" w:pos="2700"/>
              </w:tabs>
              <w:ind w:right="-513"/>
              <w:rPr>
                <w:rFonts w:ascii="Arial" w:hAnsi="Arial" w:cs="Arial"/>
                <w:b/>
                <w:bCs/>
                <w:sz w:val="20"/>
              </w:rPr>
            </w:pPr>
          </w:p>
        </w:tc>
        <w:tc>
          <w:tcPr>
            <w:tcW w:w="2250" w:type="dxa"/>
            <w:shd w:val="clear" w:color="auto" w:fill="auto"/>
          </w:tcPr>
          <w:p w14:paraId="2C46FB41" w14:textId="77777777" w:rsidR="00AF3052" w:rsidRPr="00DB6F6B" w:rsidRDefault="00AF3052" w:rsidP="00986EB0">
            <w:pPr>
              <w:tabs>
                <w:tab w:val="left" w:pos="2700"/>
              </w:tabs>
              <w:ind w:right="-513"/>
              <w:jc w:val="center"/>
              <w:rPr>
                <w:rFonts w:ascii="Arial" w:hAnsi="Arial" w:cs="Arial"/>
                <w:b/>
                <w:bCs/>
                <w:sz w:val="20"/>
              </w:rPr>
            </w:pPr>
          </w:p>
          <w:p w14:paraId="3A21BA9D" w14:textId="77777777" w:rsidR="00AF3052" w:rsidRPr="00DB6F6B" w:rsidRDefault="00AF3052" w:rsidP="00986EB0">
            <w:pPr>
              <w:tabs>
                <w:tab w:val="left" w:pos="2700"/>
              </w:tabs>
              <w:ind w:right="-513"/>
              <w:jc w:val="center"/>
              <w:rPr>
                <w:rFonts w:ascii="Arial" w:hAnsi="Arial" w:cs="Arial"/>
                <w:b/>
                <w:bCs/>
                <w:sz w:val="20"/>
              </w:rPr>
            </w:pPr>
            <w:r w:rsidRPr="00E965E3">
              <w:rPr>
                <w:noProof/>
              </w:rPr>
              <w:drawing>
                <wp:inline distT="0" distB="0" distL="0" distR="0" wp14:anchorId="7DFB1319" wp14:editId="2418932E">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3B00F63F" w14:textId="77777777" w:rsidR="00AF3052" w:rsidRPr="00DB6F6B" w:rsidRDefault="00AF3052" w:rsidP="00986EB0">
            <w:pPr>
              <w:tabs>
                <w:tab w:val="left" w:pos="2700"/>
              </w:tabs>
              <w:ind w:right="-513"/>
              <w:jc w:val="center"/>
              <w:rPr>
                <w:rFonts w:ascii="Arial" w:hAnsi="Arial" w:cs="Arial"/>
                <w:b/>
                <w:bCs/>
                <w:sz w:val="20"/>
              </w:rPr>
            </w:pPr>
          </w:p>
        </w:tc>
        <w:tc>
          <w:tcPr>
            <w:tcW w:w="3870" w:type="dxa"/>
            <w:shd w:val="clear" w:color="auto" w:fill="auto"/>
          </w:tcPr>
          <w:p w14:paraId="2EF3A73B" w14:textId="77777777" w:rsidR="00AF3052" w:rsidRPr="00DB6F6B" w:rsidRDefault="00AF3052" w:rsidP="00986EB0">
            <w:pPr>
              <w:tabs>
                <w:tab w:val="left" w:pos="2700"/>
              </w:tabs>
              <w:ind w:right="-513"/>
              <w:rPr>
                <w:rFonts w:ascii="Arial" w:hAnsi="Arial" w:cs="Arial"/>
                <w:b/>
                <w:bCs/>
                <w:sz w:val="20"/>
              </w:rPr>
            </w:pPr>
            <w:r w:rsidRPr="00E965E3">
              <w:rPr>
                <w:noProof/>
              </w:rPr>
              <w:drawing>
                <wp:inline distT="0" distB="0" distL="0" distR="0" wp14:anchorId="5DD3112B" wp14:editId="05468713">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5AF163" w14:textId="77777777" w:rsidR="00076CE0" w:rsidRDefault="00076CE0" w:rsidP="002C4BFE">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2" name="Picture 1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8437B9">
    <w:pPr>
      <w:contextualSpacing/>
      <w:jc w:val="center"/>
      <w:rPr>
        <w:rFonts w:ascii="Arial" w:hAnsi="Arial" w:cs="Arial"/>
        <w:bCs/>
        <w:sz w:val="16"/>
        <w:szCs w:val="16"/>
      </w:rPr>
    </w:pPr>
  </w:p>
  <w:p w14:paraId="6FA0DFE4" w14:textId="64B6A0A8" w:rsidR="00B1616B" w:rsidRDefault="00375D60" w:rsidP="007B2091">
    <w:pPr>
      <w:pStyle w:val="Footer"/>
      <w:rPr>
        <w:rFonts w:ascii="Arial" w:hAnsi="Arial" w:cs="Arial"/>
        <w:sz w:val="16"/>
        <w:szCs w:val="20"/>
      </w:rPr>
    </w:pPr>
    <w:r w:rsidRPr="00375D60">
      <w:rPr>
        <w:rFonts w:ascii="Arial" w:hAnsi="Arial" w:cs="Arial"/>
        <w:sz w:val="16"/>
        <w:szCs w:val="20"/>
      </w:rPr>
      <w:t>ALTA 35.1-06 Minerals and Other Subsurface Substances</w:t>
    </w:r>
    <w:r>
      <w:rPr>
        <w:rFonts w:ascii="Arial" w:hAnsi="Arial" w:cs="Arial"/>
        <w:sz w:val="16"/>
        <w:szCs w:val="20"/>
      </w:rPr>
      <w:t>-</w:t>
    </w:r>
    <w:r w:rsidRPr="00375D60">
      <w:rPr>
        <w:rFonts w:ascii="Arial" w:hAnsi="Arial" w:cs="Arial"/>
        <w:sz w:val="16"/>
        <w:szCs w:val="20"/>
      </w:rPr>
      <w:t xml:space="preserve">Improvements Endorsement </w:t>
    </w:r>
    <w:r w:rsidR="00B1616B">
      <w:rPr>
        <w:rFonts w:ascii="Arial" w:hAnsi="Arial" w:cs="Arial"/>
        <w:sz w:val="16"/>
        <w:szCs w:val="20"/>
      </w:rPr>
      <w:t>(</w:t>
    </w:r>
    <w:r w:rsidR="002C4BFE">
      <w:rPr>
        <w:rFonts w:ascii="Arial" w:hAnsi="Arial" w:cs="Arial"/>
        <w:sz w:val="16"/>
        <w:szCs w:val="20"/>
      </w:rPr>
      <w:t>3/08/2024</w:t>
    </w:r>
    <w:proofErr w:type="gramStart"/>
    <w:r w:rsidR="00CE1411">
      <w:rPr>
        <w:rFonts w:ascii="Arial" w:hAnsi="Arial" w:cs="Arial"/>
        <w:sz w:val="16"/>
        <w:szCs w:val="20"/>
      </w:rPr>
      <w:t>)</w:t>
    </w:r>
    <w:r w:rsidR="006D7757">
      <w:rPr>
        <w:rFonts w:ascii="Arial" w:hAnsi="Arial" w:cs="Arial"/>
        <w:sz w:val="16"/>
        <w:szCs w:val="20"/>
      </w:rPr>
      <w:t xml:space="preserve">  </w:t>
    </w:r>
    <w:r w:rsidR="002C4BFE">
      <w:rPr>
        <w:rFonts w:ascii="Arial" w:hAnsi="Arial" w:cs="Arial"/>
        <w:sz w:val="16"/>
        <w:szCs w:val="20"/>
      </w:rPr>
      <w:t>Seventh</w:t>
    </w:r>
    <w:proofErr w:type="gramEnd"/>
    <w:r w:rsidR="002C4BFE">
      <w:rPr>
        <w:rFonts w:ascii="Arial" w:hAnsi="Arial" w:cs="Arial"/>
        <w:sz w:val="16"/>
        <w:szCs w:val="20"/>
      </w:rPr>
      <w:t xml:space="preserve"> </w:t>
    </w:r>
    <w:r w:rsidR="00E774C0" w:rsidRPr="00E774C0">
      <w:rPr>
        <w:rFonts w:ascii="Arial" w:hAnsi="Arial" w:cs="Arial"/>
        <w:sz w:val="16"/>
        <w:szCs w:val="20"/>
      </w:rPr>
      <w:t>Revision (</w:t>
    </w:r>
    <w:r w:rsidR="002C4BFE">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C35"/>
    <w:multiLevelType w:val="hybridMultilevel"/>
    <w:tmpl w:val="FDB846AC"/>
    <w:lvl w:ilvl="0" w:tplc="026065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894598"/>
    <w:multiLevelType w:val="hybridMultilevel"/>
    <w:tmpl w:val="FBDCC1C0"/>
    <w:lvl w:ilvl="0" w:tplc="046858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4"/>
  </w:num>
  <w:num w:numId="2" w16cid:durableId="295457819">
    <w:abstractNumId w:val="5"/>
  </w:num>
  <w:num w:numId="3" w16cid:durableId="1997605201">
    <w:abstractNumId w:val="15"/>
  </w:num>
  <w:num w:numId="4" w16cid:durableId="782380101">
    <w:abstractNumId w:val="17"/>
  </w:num>
  <w:num w:numId="5" w16cid:durableId="1836650282">
    <w:abstractNumId w:val="1"/>
  </w:num>
  <w:num w:numId="6" w16cid:durableId="2045248310">
    <w:abstractNumId w:val="4"/>
  </w:num>
  <w:num w:numId="7" w16cid:durableId="1023895358">
    <w:abstractNumId w:val="7"/>
  </w:num>
  <w:num w:numId="8" w16cid:durableId="554660791">
    <w:abstractNumId w:val="6"/>
  </w:num>
  <w:num w:numId="9" w16cid:durableId="121772531">
    <w:abstractNumId w:val="9"/>
  </w:num>
  <w:num w:numId="10" w16cid:durableId="179780398">
    <w:abstractNumId w:val="12"/>
  </w:num>
  <w:num w:numId="11" w16cid:durableId="2052684963">
    <w:abstractNumId w:val="11"/>
  </w:num>
  <w:num w:numId="12" w16cid:durableId="767432426">
    <w:abstractNumId w:val="10"/>
  </w:num>
  <w:num w:numId="13" w16cid:durableId="2105109001">
    <w:abstractNumId w:val="20"/>
  </w:num>
  <w:num w:numId="14" w16cid:durableId="565801326">
    <w:abstractNumId w:val="2"/>
  </w:num>
  <w:num w:numId="15" w16cid:durableId="613288731">
    <w:abstractNumId w:val="16"/>
  </w:num>
  <w:num w:numId="16" w16cid:durableId="493647586">
    <w:abstractNumId w:val="3"/>
  </w:num>
  <w:num w:numId="17" w16cid:durableId="882329066">
    <w:abstractNumId w:val="18"/>
  </w:num>
  <w:num w:numId="18" w16cid:durableId="1705330537">
    <w:abstractNumId w:val="13"/>
  </w:num>
  <w:num w:numId="19" w16cid:durableId="2092655802">
    <w:abstractNumId w:val="19"/>
  </w:num>
  <w:num w:numId="20" w16cid:durableId="1604418231">
    <w:abstractNumId w:val="8"/>
  </w:num>
  <w:num w:numId="21" w16cid:durableId="7972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2F0F"/>
    <w:rsid w:val="00024D38"/>
    <w:rsid w:val="00076CE0"/>
    <w:rsid w:val="000C709B"/>
    <w:rsid w:val="0012218C"/>
    <w:rsid w:val="00125E53"/>
    <w:rsid w:val="00143CA0"/>
    <w:rsid w:val="00187A82"/>
    <w:rsid w:val="001C47B9"/>
    <w:rsid w:val="002113A0"/>
    <w:rsid w:val="0021307C"/>
    <w:rsid w:val="00223611"/>
    <w:rsid w:val="00265D23"/>
    <w:rsid w:val="00270FDA"/>
    <w:rsid w:val="0027798F"/>
    <w:rsid w:val="002A4111"/>
    <w:rsid w:val="002C4BFE"/>
    <w:rsid w:val="002E6381"/>
    <w:rsid w:val="00312A8A"/>
    <w:rsid w:val="0032428A"/>
    <w:rsid w:val="00325419"/>
    <w:rsid w:val="003367A9"/>
    <w:rsid w:val="00375A2F"/>
    <w:rsid w:val="00375D60"/>
    <w:rsid w:val="00384086"/>
    <w:rsid w:val="00385A93"/>
    <w:rsid w:val="003B594F"/>
    <w:rsid w:val="00432B64"/>
    <w:rsid w:val="004703ED"/>
    <w:rsid w:val="004942C4"/>
    <w:rsid w:val="0052197C"/>
    <w:rsid w:val="00531045"/>
    <w:rsid w:val="00532D41"/>
    <w:rsid w:val="00534816"/>
    <w:rsid w:val="00553D20"/>
    <w:rsid w:val="005547E5"/>
    <w:rsid w:val="00575624"/>
    <w:rsid w:val="005D6EFD"/>
    <w:rsid w:val="005E718B"/>
    <w:rsid w:val="00621E90"/>
    <w:rsid w:val="0064246D"/>
    <w:rsid w:val="006967D2"/>
    <w:rsid w:val="006D65AD"/>
    <w:rsid w:val="006D7757"/>
    <w:rsid w:val="0071398D"/>
    <w:rsid w:val="007343AF"/>
    <w:rsid w:val="0077262E"/>
    <w:rsid w:val="00774C3A"/>
    <w:rsid w:val="007B2091"/>
    <w:rsid w:val="007C240D"/>
    <w:rsid w:val="00803117"/>
    <w:rsid w:val="00821B9B"/>
    <w:rsid w:val="008437B9"/>
    <w:rsid w:val="00870B23"/>
    <w:rsid w:val="00872C2F"/>
    <w:rsid w:val="008810D9"/>
    <w:rsid w:val="008E41CD"/>
    <w:rsid w:val="009153DF"/>
    <w:rsid w:val="00925ABD"/>
    <w:rsid w:val="00932B7A"/>
    <w:rsid w:val="00952411"/>
    <w:rsid w:val="009A1D6D"/>
    <w:rsid w:val="00A223B2"/>
    <w:rsid w:val="00AA400D"/>
    <w:rsid w:val="00AB2F15"/>
    <w:rsid w:val="00AB72EA"/>
    <w:rsid w:val="00AC7FA3"/>
    <w:rsid w:val="00AF3052"/>
    <w:rsid w:val="00B02C60"/>
    <w:rsid w:val="00B1616B"/>
    <w:rsid w:val="00B209D8"/>
    <w:rsid w:val="00B36C3D"/>
    <w:rsid w:val="00B727EF"/>
    <w:rsid w:val="00BA4B74"/>
    <w:rsid w:val="00C235D8"/>
    <w:rsid w:val="00C5715C"/>
    <w:rsid w:val="00C82369"/>
    <w:rsid w:val="00C93A99"/>
    <w:rsid w:val="00CA062E"/>
    <w:rsid w:val="00CE1411"/>
    <w:rsid w:val="00D01820"/>
    <w:rsid w:val="00D86B5A"/>
    <w:rsid w:val="00DC352F"/>
    <w:rsid w:val="00DF389B"/>
    <w:rsid w:val="00DF5AEF"/>
    <w:rsid w:val="00E1359F"/>
    <w:rsid w:val="00E14B33"/>
    <w:rsid w:val="00E40220"/>
    <w:rsid w:val="00E75AA4"/>
    <w:rsid w:val="00E774C0"/>
    <w:rsid w:val="00EC3D15"/>
    <w:rsid w:val="00EC5C30"/>
    <w:rsid w:val="00ED1FDA"/>
    <w:rsid w:val="00ED4C21"/>
    <w:rsid w:val="00F40776"/>
    <w:rsid w:val="00F7187F"/>
    <w:rsid w:val="00F921D2"/>
    <w:rsid w:val="00FA374C"/>
    <w:rsid w:val="00FB0687"/>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397</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7</cp:revision>
  <cp:lastPrinted>2015-07-21T19:52:00Z</cp:lastPrinted>
  <dcterms:created xsi:type="dcterms:W3CDTF">2024-08-20T19:54:00Z</dcterms:created>
  <dcterms:modified xsi:type="dcterms:W3CDTF">2024-10-21T16:20:00Z</dcterms:modified>
</cp:coreProperties>
</file>