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5BE0278A" w14:textId="77777777" w:rsidR="004E39B0" w:rsidRPr="004E39B0" w:rsidRDefault="004E39B0" w:rsidP="004E39B0">
      <w:pPr>
        <w:jc w:val="center"/>
        <w:rPr>
          <w:rFonts w:ascii="Arial" w:hAnsi="Arial" w:cs="Arial"/>
          <w:b/>
        </w:rPr>
      </w:pPr>
      <w:r w:rsidRPr="004E39B0">
        <w:rPr>
          <w:rFonts w:ascii="Arial" w:hAnsi="Arial" w:cs="Arial"/>
          <w:b/>
        </w:rPr>
        <w:t xml:space="preserve">TIRSA COMMERCIAL REVOLVING CREDIT ENDORSEMENT </w:t>
      </w:r>
    </w:p>
    <w:p w14:paraId="4159BBAA" w14:textId="77777777" w:rsidR="004E39B0" w:rsidRPr="004E39B0" w:rsidRDefault="004E39B0" w:rsidP="004E39B0">
      <w:pPr>
        <w:jc w:val="center"/>
        <w:rPr>
          <w:rFonts w:ascii="Arial" w:hAnsi="Arial" w:cs="Arial"/>
          <w:b/>
        </w:rPr>
      </w:pPr>
      <w:r w:rsidRPr="004E39B0">
        <w:rPr>
          <w:rFonts w:ascii="Arial" w:hAnsi="Arial" w:cs="Arial"/>
          <w:b/>
        </w:rPr>
        <w:t xml:space="preserve">FOR COMMERCIAL CREDIT LINE MORTGAGES WHICH SECURE A </w:t>
      </w:r>
    </w:p>
    <w:p w14:paraId="129800B7" w14:textId="2A813D21" w:rsidR="009C1E9F" w:rsidRDefault="004E39B0" w:rsidP="004E39B0">
      <w:pPr>
        <w:jc w:val="center"/>
        <w:rPr>
          <w:rFonts w:ascii="Arial" w:hAnsi="Arial" w:cs="Arial"/>
          <w:b/>
          <w:sz w:val="20"/>
          <w:szCs w:val="20"/>
        </w:rPr>
      </w:pPr>
      <w:r w:rsidRPr="004E39B0">
        <w:rPr>
          <w:rFonts w:ascii="Arial" w:hAnsi="Arial" w:cs="Arial"/>
          <w:b/>
        </w:rPr>
        <w:t>MAXIMUM PRINCIPAL INDEBTEDNESS OF LESS THAN $3,000,000</w:t>
      </w:r>
    </w:p>
    <w:p w14:paraId="460350A9" w14:textId="77777777" w:rsidR="006170FB" w:rsidRDefault="006170FB">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177B6632" w14:textId="77777777" w:rsidR="00F61F8F" w:rsidRPr="00F61F8F" w:rsidRDefault="00F61F8F" w:rsidP="00F61F8F">
      <w:pPr>
        <w:jc w:val="both"/>
        <w:rPr>
          <w:rFonts w:ascii="Arial" w:hAnsi="Arial" w:cs="Arial"/>
          <w:sz w:val="20"/>
          <w:szCs w:val="20"/>
        </w:rPr>
      </w:pPr>
      <w:r w:rsidRPr="00F61F8F">
        <w:rPr>
          <w:rFonts w:ascii="Arial" w:hAnsi="Arial" w:cs="Arial"/>
          <w:sz w:val="20"/>
          <w:szCs w:val="20"/>
        </w:rPr>
        <w:t>The endorsement is effective only if the Insured Mortgage is a credit line mortgage as defined in New York Real Property Law Section 281.</w:t>
      </w:r>
    </w:p>
    <w:p w14:paraId="731F4597" w14:textId="77777777" w:rsidR="00F61F8F" w:rsidRDefault="00F61F8F" w:rsidP="00F61F8F">
      <w:pPr>
        <w:jc w:val="both"/>
        <w:rPr>
          <w:rFonts w:ascii="Arial" w:hAnsi="Arial" w:cs="Arial"/>
          <w:bCs/>
          <w:sz w:val="20"/>
          <w:szCs w:val="20"/>
        </w:rPr>
      </w:pPr>
    </w:p>
    <w:p w14:paraId="740C4841" w14:textId="2C59264E" w:rsidR="00F61F8F" w:rsidRPr="00F61F8F" w:rsidRDefault="00F61F8F" w:rsidP="00F61F8F">
      <w:pPr>
        <w:ind w:left="720" w:hanging="720"/>
        <w:jc w:val="both"/>
        <w:rPr>
          <w:rFonts w:ascii="Arial" w:hAnsi="Arial" w:cs="Arial"/>
          <w:bCs/>
          <w:sz w:val="20"/>
          <w:szCs w:val="20"/>
        </w:rPr>
      </w:pPr>
      <w:r w:rsidRPr="00F61F8F">
        <w:rPr>
          <w:rFonts w:ascii="Arial" w:hAnsi="Arial" w:cs="Arial"/>
          <w:bCs/>
          <w:sz w:val="20"/>
          <w:szCs w:val="20"/>
        </w:rPr>
        <w:t>1.</w:t>
      </w:r>
      <w:r w:rsidRPr="00F61F8F">
        <w:rPr>
          <w:rFonts w:ascii="Arial" w:hAnsi="Arial" w:cs="Arial"/>
          <w:bCs/>
          <w:sz w:val="20"/>
          <w:szCs w:val="20"/>
        </w:rPr>
        <w:tab/>
        <w:t>The insurance for Advances added by Section 2 of this endorsement is subject to the exclusions in Section 3 of this endorsement and the Exclusions from Coverage in the policy, except Exclusion 3(d), the provisions of the Conditions and the Exceptions contained in Schedule B.</w:t>
      </w:r>
    </w:p>
    <w:p w14:paraId="11E4BE5F" w14:textId="77777777" w:rsidR="00F61F8F" w:rsidRDefault="00F61F8F" w:rsidP="00F61F8F">
      <w:pPr>
        <w:jc w:val="both"/>
        <w:rPr>
          <w:rFonts w:ascii="Arial" w:hAnsi="Arial" w:cs="Arial"/>
          <w:sz w:val="20"/>
          <w:szCs w:val="20"/>
        </w:rPr>
      </w:pPr>
    </w:p>
    <w:p w14:paraId="163CD961" w14:textId="4AA75E98" w:rsidR="00F61F8F" w:rsidRPr="00F61F8F" w:rsidRDefault="00F61F8F" w:rsidP="00F61F8F">
      <w:pPr>
        <w:ind w:left="720"/>
        <w:jc w:val="both"/>
        <w:rPr>
          <w:rFonts w:ascii="Arial" w:hAnsi="Arial" w:cs="Arial"/>
          <w:sz w:val="20"/>
          <w:szCs w:val="20"/>
        </w:rPr>
      </w:pPr>
      <w:r w:rsidRPr="00F61F8F">
        <w:rPr>
          <w:rFonts w:ascii="Arial" w:hAnsi="Arial" w:cs="Arial"/>
          <w:sz w:val="20"/>
          <w:szCs w:val="20"/>
        </w:rPr>
        <w:t>“Advance,” as used in this endorsement, shall mean an extension of credit pursuant to the terms of the Insured Mortgage and loan agreement. An extension of credit shall occur on the date on which the Insured, pursuant to its contractual obligations under the Insured Mortgage and loan agreement, honors a drawn on the account established by the Insured Mortgage and loan agreement.</w:t>
      </w:r>
    </w:p>
    <w:p w14:paraId="33E66C79" w14:textId="77777777" w:rsidR="00F61F8F" w:rsidRDefault="00F61F8F" w:rsidP="00F61F8F">
      <w:pPr>
        <w:jc w:val="both"/>
        <w:rPr>
          <w:rFonts w:ascii="Arial" w:hAnsi="Arial" w:cs="Arial"/>
          <w:bCs/>
          <w:sz w:val="20"/>
          <w:szCs w:val="20"/>
        </w:rPr>
      </w:pPr>
    </w:p>
    <w:p w14:paraId="376C2A24" w14:textId="11BDA818" w:rsidR="00F61F8F" w:rsidRPr="00F61F8F" w:rsidRDefault="00F61F8F" w:rsidP="00F61F8F">
      <w:pPr>
        <w:ind w:left="720" w:hanging="720"/>
        <w:jc w:val="both"/>
        <w:rPr>
          <w:rFonts w:ascii="Arial" w:hAnsi="Arial" w:cs="Arial"/>
          <w:bCs/>
          <w:sz w:val="20"/>
          <w:szCs w:val="20"/>
        </w:rPr>
      </w:pPr>
      <w:r w:rsidRPr="00F61F8F">
        <w:rPr>
          <w:rFonts w:ascii="Arial" w:hAnsi="Arial" w:cs="Arial"/>
          <w:bCs/>
          <w:sz w:val="20"/>
          <w:szCs w:val="20"/>
        </w:rPr>
        <w:t>2.</w:t>
      </w:r>
      <w:r w:rsidRPr="00F61F8F">
        <w:rPr>
          <w:rFonts w:ascii="Arial" w:hAnsi="Arial" w:cs="Arial"/>
          <w:bCs/>
          <w:sz w:val="20"/>
          <w:szCs w:val="20"/>
        </w:rPr>
        <w:tab/>
        <w:t>The Company insures against loss for damage by reason of loss of priority of the lien of the Insured Mortgage as to each and every Advance made pursuant to the provisions of the Insured Mortgage and loan agreement provided, however, that no coverage is given as to any Advance made after the insured has Knowledge of any sale or transfer of the Land, or during any period in which the Insured has Knowledge of an event of default under the terms of the Insured Mortgage and loan agreement.</w:t>
      </w:r>
    </w:p>
    <w:p w14:paraId="7E4196B4" w14:textId="77777777" w:rsidR="00F61F8F" w:rsidRDefault="00F61F8F" w:rsidP="00F61F8F">
      <w:pPr>
        <w:jc w:val="both"/>
        <w:rPr>
          <w:rFonts w:ascii="Arial" w:hAnsi="Arial" w:cs="Arial"/>
          <w:bCs/>
          <w:sz w:val="20"/>
          <w:szCs w:val="20"/>
        </w:rPr>
      </w:pPr>
    </w:p>
    <w:p w14:paraId="4B9980FE" w14:textId="29DC29F0" w:rsidR="00F61F8F" w:rsidRPr="00F61F8F" w:rsidRDefault="00F61F8F" w:rsidP="00F61F8F">
      <w:pPr>
        <w:ind w:left="720" w:hanging="720"/>
        <w:jc w:val="both"/>
        <w:rPr>
          <w:rFonts w:ascii="Arial" w:hAnsi="Arial" w:cs="Arial"/>
          <w:bCs/>
          <w:sz w:val="20"/>
          <w:szCs w:val="20"/>
        </w:rPr>
      </w:pPr>
      <w:r w:rsidRPr="00F61F8F">
        <w:rPr>
          <w:rFonts w:ascii="Arial" w:hAnsi="Arial" w:cs="Arial"/>
          <w:bCs/>
          <w:sz w:val="20"/>
          <w:szCs w:val="20"/>
        </w:rPr>
        <w:t>3.</w:t>
      </w:r>
      <w:r w:rsidRPr="00F61F8F">
        <w:rPr>
          <w:rFonts w:ascii="Arial" w:hAnsi="Arial" w:cs="Arial"/>
          <w:bCs/>
          <w:sz w:val="20"/>
          <w:szCs w:val="20"/>
        </w:rPr>
        <w:tab/>
        <w:t xml:space="preserve">This endorsement does not insure against loss or damage (and the Company will not pay costs, attorneys’ </w:t>
      </w:r>
      <w:proofErr w:type="gramStart"/>
      <w:r w:rsidRPr="00F61F8F">
        <w:rPr>
          <w:rFonts w:ascii="Arial" w:hAnsi="Arial" w:cs="Arial"/>
          <w:bCs/>
          <w:sz w:val="20"/>
          <w:szCs w:val="20"/>
        </w:rPr>
        <w:t>fees</w:t>
      </w:r>
      <w:proofErr w:type="gramEnd"/>
      <w:r w:rsidRPr="00F61F8F">
        <w:rPr>
          <w:rFonts w:ascii="Arial" w:hAnsi="Arial" w:cs="Arial"/>
          <w:bCs/>
          <w:sz w:val="20"/>
          <w:szCs w:val="20"/>
        </w:rPr>
        <w:t xml:space="preserve"> or expenses) resulting from:</w:t>
      </w:r>
    </w:p>
    <w:p w14:paraId="20B3EF56" w14:textId="77777777" w:rsidR="00F61F8F" w:rsidRDefault="00F61F8F" w:rsidP="00F61F8F">
      <w:pPr>
        <w:ind w:left="720"/>
        <w:jc w:val="both"/>
        <w:rPr>
          <w:rFonts w:ascii="Arial" w:hAnsi="Arial" w:cs="Arial"/>
          <w:bCs/>
          <w:sz w:val="20"/>
          <w:szCs w:val="20"/>
        </w:rPr>
      </w:pPr>
    </w:p>
    <w:p w14:paraId="5AF668EA" w14:textId="0F67EB20" w:rsidR="00F61F8F" w:rsidRPr="00F61F8F" w:rsidRDefault="00F61F8F" w:rsidP="00F61F8F">
      <w:pPr>
        <w:ind w:left="1440" w:hanging="720"/>
        <w:jc w:val="both"/>
        <w:rPr>
          <w:rFonts w:ascii="Arial" w:hAnsi="Arial" w:cs="Arial"/>
          <w:bCs/>
          <w:sz w:val="20"/>
          <w:szCs w:val="20"/>
        </w:rPr>
      </w:pPr>
      <w:r w:rsidRPr="00F61F8F">
        <w:rPr>
          <w:rFonts w:ascii="Arial" w:hAnsi="Arial" w:cs="Arial"/>
          <w:bCs/>
          <w:sz w:val="20"/>
          <w:szCs w:val="20"/>
        </w:rPr>
        <w:t>a.</w:t>
      </w:r>
      <w:r w:rsidRPr="00F61F8F">
        <w:rPr>
          <w:rFonts w:ascii="Arial" w:hAnsi="Arial" w:cs="Arial"/>
          <w:bCs/>
          <w:sz w:val="20"/>
          <w:szCs w:val="20"/>
        </w:rPr>
        <w:tab/>
        <w:t>federal tax liens or bankruptcies appearing in the Public Records prior to the time of such Advance and affecting Title;</w:t>
      </w:r>
    </w:p>
    <w:p w14:paraId="18B04425" w14:textId="77777777" w:rsidR="00F61F8F" w:rsidRDefault="00F61F8F" w:rsidP="00F61F8F">
      <w:pPr>
        <w:ind w:left="720"/>
        <w:jc w:val="both"/>
        <w:rPr>
          <w:rFonts w:ascii="Arial" w:hAnsi="Arial" w:cs="Arial"/>
          <w:bCs/>
          <w:sz w:val="20"/>
          <w:szCs w:val="20"/>
        </w:rPr>
      </w:pPr>
    </w:p>
    <w:p w14:paraId="3A23AE47" w14:textId="31F17F60" w:rsidR="00F61F8F" w:rsidRPr="00F61F8F" w:rsidRDefault="00F61F8F" w:rsidP="00F61F8F">
      <w:pPr>
        <w:ind w:left="720"/>
        <w:jc w:val="both"/>
        <w:rPr>
          <w:rFonts w:ascii="Arial" w:hAnsi="Arial" w:cs="Arial"/>
          <w:bCs/>
          <w:sz w:val="20"/>
          <w:szCs w:val="20"/>
        </w:rPr>
      </w:pPr>
      <w:r w:rsidRPr="00F61F8F">
        <w:rPr>
          <w:rFonts w:ascii="Arial" w:hAnsi="Arial" w:cs="Arial"/>
          <w:bCs/>
          <w:sz w:val="20"/>
          <w:szCs w:val="20"/>
        </w:rPr>
        <w:t>b.</w:t>
      </w:r>
      <w:r w:rsidRPr="00F61F8F">
        <w:rPr>
          <w:rFonts w:ascii="Arial" w:hAnsi="Arial" w:cs="Arial"/>
          <w:bCs/>
          <w:sz w:val="20"/>
          <w:szCs w:val="20"/>
        </w:rPr>
        <w:tab/>
        <w:t xml:space="preserve">real estate taxes, assessments, </w:t>
      </w:r>
      <w:proofErr w:type="gramStart"/>
      <w:r w:rsidRPr="00F61F8F">
        <w:rPr>
          <w:rFonts w:ascii="Arial" w:hAnsi="Arial" w:cs="Arial"/>
          <w:bCs/>
          <w:sz w:val="20"/>
          <w:szCs w:val="20"/>
        </w:rPr>
        <w:t>water</w:t>
      </w:r>
      <w:proofErr w:type="gramEnd"/>
      <w:r w:rsidRPr="00F61F8F">
        <w:rPr>
          <w:rFonts w:ascii="Arial" w:hAnsi="Arial" w:cs="Arial"/>
          <w:bCs/>
          <w:sz w:val="20"/>
          <w:szCs w:val="20"/>
        </w:rPr>
        <w:t xml:space="preserve"> and sewer rent charges;</w:t>
      </w:r>
    </w:p>
    <w:p w14:paraId="11E8ECB8" w14:textId="77777777" w:rsidR="00F61F8F" w:rsidRDefault="00F61F8F" w:rsidP="00F61F8F">
      <w:pPr>
        <w:ind w:left="720"/>
        <w:jc w:val="both"/>
        <w:rPr>
          <w:rFonts w:ascii="Arial" w:hAnsi="Arial" w:cs="Arial"/>
          <w:bCs/>
          <w:sz w:val="20"/>
          <w:szCs w:val="20"/>
        </w:rPr>
      </w:pPr>
    </w:p>
    <w:p w14:paraId="05E1A866" w14:textId="030FD848" w:rsidR="00F61F8F" w:rsidRPr="00F61F8F" w:rsidRDefault="00F61F8F" w:rsidP="00F61F8F">
      <w:pPr>
        <w:ind w:left="1440" w:hanging="720"/>
        <w:jc w:val="both"/>
        <w:rPr>
          <w:rFonts w:ascii="Arial" w:hAnsi="Arial" w:cs="Arial"/>
          <w:bCs/>
          <w:sz w:val="20"/>
          <w:szCs w:val="20"/>
        </w:rPr>
      </w:pPr>
      <w:r w:rsidRPr="00F61F8F">
        <w:rPr>
          <w:rFonts w:ascii="Arial" w:hAnsi="Arial" w:cs="Arial"/>
          <w:bCs/>
          <w:sz w:val="20"/>
          <w:szCs w:val="20"/>
        </w:rPr>
        <w:t>c.</w:t>
      </w:r>
      <w:r w:rsidRPr="00F61F8F">
        <w:rPr>
          <w:rFonts w:ascii="Arial" w:hAnsi="Arial" w:cs="Arial"/>
          <w:bCs/>
          <w:sz w:val="20"/>
          <w:szCs w:val="20"/>
        </w:rPr>
        <w:tab/>
        <w:t>the lack of priority of the lien of the Insured Mortgage as security for any Advance with respect to a statutory lien arising under Article 2 of the New York Lien Law for services, labor or materials furnished, when such Advance is made after the filing of the statutory lien in the Public Records; and,</w:t>
      </w:r>
    </w:p>
    <w:p w14:paraId="0E38E116" w14:textId="77777777" w:rsidR="00F61F8F" w:rsidRDefault="00F61F8F" w:rsidP="00F61F8F">
      <w:pPr>
        <w:ind w:left="720"/>
        <w:jc w:val="both"/>
        <w:rPr>
          <w:rFonts w:ascii="Arial" w:hAnsi="Arial" w:cs="Arial"/>
          <w:bCs/>
          <w:sz w:val="20"/>
          <w:szCs w:val="20"/>
        </w:rPr>
      </w:pPr>
    </w:p>
    <w:p w14:paraId="3D05F2EC" w14:textId="2FCE08EB" w:rsidR="00F61F8F" w:rsidRPr="00F61F8F" w:rsidRDefault="00F61F8F" w:rsidP="00F61F8F">
      <w:pPr>
        <w:ind w:left="1440" w:hanging="720"/>
        <w:jc w:val="both"/>
        <w:rPr>
          <w:rFonts w:ascii="Arial" w:hAnsi="Arial" w:cs="Arial"/>
          <w:bCs/>
          <w:sz w:val="20"/>
          <w:szCs w:val="20"/>
        </w:rPr>
      </w:pPr>
      <w:r w:rsidRPr="00F61F8F">
        <w:rPr>
          <w:rFonts w:ascii="Arial" w:hAnsi="Arial" w:cs="Arial"/>
          <w:bCs/>
          <w:sz w:val="20"/>
          <w:szCs w:val="20"/>
        </w:rPr>
        <w:t>d.</w:t>
      </w:r>
      <w:r w:rsidRPr="00F61F8F">
        <w:rPr>
          <w:rFonts w:ascii="Arial" w:hAnsi="Arial" w:cs="Arial"/>
          <w:bCs/>
          <w:sz w:val="20"/>
          <w:szCs w:val="20"/>
        </w:rPr>
        <w:tab/>
        <w:t xml:space="preserve">liens arising after the Date of Policy which by virtue of federal, </w:t>
      </w:r>
      <w:proofErr w:type="gramStart"/>
      <w:r w:rsidRPr="00F61F8F">
        <w:rPr>
          <w:rFonts w:ascii="Arial" w:hAnsi="Arial" w:cs="Arial"/>
          <w:bCs/>
          <w:sz w:val="20"/>
          <w:szCs w:val="20"/>
        </w:rPr>
        <w:t>state</w:t>
      </w:r>
      <w:proofErr w:type="gramEnd"/>
      <w:r w:rsidRPr="00F61F8F">
        <w:rPr>
          <w:rFonts w:ascii="Arial" w:hAnsi="Arial" w:cs="Arial"/>
          <w:bCs/>
          <w:sz w:val="20"/>
          <w:szCs w:val="20"/>
        </w:rPr>
        <w:t xml:space="preserve"> or local laws which are entitled to priority over lien of the Insured Mortgage.</w:t>
      </w:r>
    </w:p>
    <w:p w14:paraId="5E0FBD12" w14:textId="77777777" w:rsidR="00F61F8F" w:rsidRDefault="00F61F8F" w:rsidP="00F61F8F">
      <w:pPr>
        <w:jc w:val="both"/>
        <w:rPr>
          <w:rFonts w:ascii="Arial" w:hAnsi="Arial" w:cs="Arial"/>
          <w:bCs/>
          <w:sz w:val="20"/>
          <w:szCs w:val="20"/>
        </w:rPr>
      </w:pPr>
    </w:p>
    <w:p w14:paraId="28452579" w14:textId="353F7246" w:rsidR="00F61F8F" w:rsidRPr="00F61F8F" w:rsidRDefault="00F61F8F" w:rsidP="00F61F8F">
      <w:pPr>
        <w:jc w:val="both"/>
        <w:rPr>
          <w:rFonts w:ascii="Arial" w:hAnsi="Arial" w:cs="Arial"/>
          <w:bCs/>
          <w:sz w:val="20"/>
          <w:szCs w:val="20"/>
        </w:rPr>
      </w:pPr>
      <w:r w:rsidRPr="00F61F8F">
        <w:rPr>
          <w:rFonts w:ascii="Arial" w:hAnsi="Arial" w:cs="Arial"/>
          <w:bCs/>
          <w:sz w:val="20"/>
          <w:szCs w:val="20"/>
        </w:rPr>
        <w:t>4.</w:t>
      </w:r>
      <w:r w:rsidRPr="00F61F8F">
        <w:rPr>
          <w:rFonts w:ascii="Arial" w:hAnsi="Arial" w:cs="Arial"/>
          <w:bCs/>
          <w:sz w:val="20"/>
          <w:szCs w:val="20"/>
        </w:rPr>
        <w:tab/>
        <w:t>The definition of Indebtedness includes Advance.</w:t>
      </w:r>
    </w:p>
    <w:p w14:paraId="3DF7132C" w14:textId="77777777" w:rsidR="00F61F8F" w:rsidRDefault="00F61F8F" w:rsidP="00F61F8F">
      <w:pPr>
        <w:jc w:val="both"/>
        <w:rPr>
          <w:rFonts w:ascii="Arial" w:hAnsi="Arial" w:cs="Arial"/>
          <w:sz w:val="20"/>
          <w:szCs w:val="20"/>
        </w:rPr>
      </w:pPr>
    </w:p>
    <w:p w14:paraId="7FBB4F58" w14:textId="1CD54CFC" w:rsidR="00F61F8F" w:rsidRPr="00F61F8F" w:rsidRDefault="00F61F8F" w:rsidP="00F61F8F">
      <w:pPr>
        <w:jc w:val="both"/>
        <w:rPr>
          <w:rFonts w:ascii="Arial" w:hAnsi="Arial" w:cs="Arial"/>
          <w:sz w:val="20"/>
          <w:szCs w:val="20"/>
        </w:rPr>
      </w:pPr>
      <w:r w:rsidRPr="00F61F8F">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The insurance afforded by this endorsement is not subject to the provisions of sub-paragraph 3(d) of the Exclusions from Coverage. To the extent a provision of the policy or a previous endorsement is inconsistent with an express provision of this endorsement, this endorsement controls. Otherwise, this endorsement is subject to </w:t>
      </w:r>
      <w:proofErr w:type="gramStart"/>
      <w:r w:rsidRPr="00F61F8F">
        <w:rPr>
          <w:rFonts w:ascii="Arial" w:hAnsi="Arial" w:cs="Arial"/>
          <w:sz w:val="20"/>
          <w:szCs w:val="20"/>
        </w:rPr>
        <w:t>all of</w:t>
      </w:r>
      <w:proofErr w:type="gramEnd"/>
      <w:r w:rsidRPr="00F61F8F">
        <w:rPr>
          <w:rFonts w:ascii="Arial" w:hAnsi="Arial" w:cs="Arial"/>
          <w:sz w:val="20"/>
          <w:szCs w:val="20"/>
        </w:rPr>
        <w:t xml:space="preserve"> the terms and provisions of the policy and of any prior endorsements.</w:t>
      </w:r>
    </w:p>
    <w:p w14:paraId="3D34C9C0" w14:textId="77777777" w:rsidR="003F22D8" w:rsidRPr="006170FB" w:rsidRDefault="003F22D8" w:rsidP="003F22D8">
      <w:pPr>
        <w:jc w:val="both"/>
        <w:rPr>
          <w:rFonts w:ascii="Arial" w:hAnsi="Arial" w:cs="Arial"/>
          <w:sz w:val="20"/>
          <w:szCs w:val="20"/>
        </w:rPr>
      </w:pPr>
    </w:p>
    <w:p w14:paraId="4ACD7308" w14:textId="6F6628B6" w:rsidR="003F22D8" w:rsidRPr="003F22D8" w:rsidRDefault="003F22D8" w:rsidP="003F22D8">
      <w:pPr>
        <w:jc w:val="both"/>
        <w:rPr>
          <w:rFonts w:ascii="Arial" w:hAnsi="Arial" w:cs="Arial"/>
          <w:sz w:val="20"/>
          <w:szCs w:val="20"/>
        </w:rPr>
      </w:pPr>
      <w:r w:rsidRPr="003F22D8">
        <w:rPr>
          <w:rFonts w:ascii="Arial" w:hAnsi="Arial" w:cs="Arial"/>
          <w:sz w:val="20"/>
          <w:szCs w:val="20"/>
        </w:rPr>
        <w:lastRenderedPageBreak/>
        <w:t>IN WITNESS WHEREOF the Company has caused its corporate name and seal to be hereunto affixed by</w:t>
      </w:r>
    </w:p>
    <w:p w14:paraId="46C2E92D" w14:textId="77777777"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its duly authorized officers on the </w:t>
      </w:r>
      <w:r w:rsidRPr="003F22D8">
        <w:rPr>
          <w:rFonts w:ascii="Arial" w:hAnsi="Arial" w:cs="Arial"/>
          <w:sz w:val="20"/>
          <w:szCs w:val="20"/>
          <w:u w:val="single"/>
        </w:rPr>
        <w:tab/>
      </w:r>
      <w:r w:rsidRPr="003F22D8">
        <w:rPr>
          <w:rFonts w:ascii="Arial" w:hAnsi="Arial" w:cs="Arial"/>
          <w:sz w:val="20"/>
          <w:szCs w:val="20"/>
        </w:rPr>
        <w:t>day of</w:t>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rPr>
        <w:t>, 20</w:t>
      </w:r>
      <w:r w:rsidRPr="003F22D8">
        <w:rPr>
          <w:rFonts w:ascii="Arial" w:hAnsi="Arial" w:cs="Arial"/>
          <w:sz w:val="20"/>
          <w:szCs w:val="20"/>
          <w:u w:val="single"/>
        </w:rPr>
        <w:tab/>
      </w:r>
      <w:r w:rsidRPr="003F22D8">
        <w:rPr>
          <w:rFonts w:ascii="Arial" w:hAnsi="Arial" w:cs="Arial"/>
          <w:sz w:val="20"/>
          <w:szCs w:val="20"/>
        </w:rPr>
        <w:t>.</w:t>
      </w: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F4905" w:rsidRPr="00DB6F6B" w14:paraId="69E8F903"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F4905" w:rsidRPr="0084617D" w14:paraId="087D4A11" w14:textId="77777777" w:rsidTr="00986EB0">
              <w:trPr>
                <w:cantSplit/>
                <w:trHeight w:hRule="exact" w:val="720"/>
              </w:trPr>
              <w:tc>
                <w:tcPr>
                  <w:tcW w:w="3960" w:type="dxa"/>
                  <w:tcBorders>
                    <w:top w:val="nil"/>
                  </w:tcBorders>
                  <w:shd w:val="clear" w:color="auto" w:fill="auto"/>
                </w:tcPr>
                <w:p w14:paraId="1278FE54" w14:textId="77777777" w:rsidR="008F4905" w:rsidRDefault="008F4905" w:rsidP="00986EB0">
                  <w:pPr>
                    <w:pStyle w:val="BodyText3"/>
                    <w:rPr>
                      <w:sz w:val="18"/>
                      <w:szCs w:val="18"/>
                    </w:rPr>
                  </w:pPr>
                  <w:r w:rsidRPr="0084617D">
                    <w:rPr>
                      <w:sz w:val="18"/>
                      <w:szCs w:val="18"/>
                    </w:rPr>
                    <w:t>Countersigned by:</w:t>
                  </w:r>
                </w:p>
                <w:p w14:paraId="46C185E0" w14:textId="77777777" w:rsidR="008F4905" w:rsidRDefault="008F4905" w:rsidP="00986EB0">
                  <w:pPr>
                    <w:pStyle w:val="BodyText3"/>
                    <w:rPr>
                      <w:sz w:val="18"/>
                      <w:szCs w:val="18"/>
                    </w:rPr>
                  </w:pPr>
                </w:p>
                <w:p w14:paraId="0939C668" w14:textId="77777777" w:rsidR="008F4905" w:rsidRPr="0084617D" w:rsidRDefault="008F4905" w:rsidP="00986EB0">
                  <w:pPr>
                    <w:pStyle w:val="BodyText3"/>
                    <w:rPr>
                      <w:sz w:val="18"/>
                      <w:szCs w:val="18"/>
                    </w:rPr>
                  </w:pPr>
                </w:p>
              </w:tc>
            </w:tr>
            <w:tr w:rsidR="008F4905" w:rsidRPr="0084617D" w14:paraId="28BD2333" w14:textId="77777777" w:rsidTr="00986EB0">
              <w:trPr>
                <w:cantSplit/>
                <w:trHeight w:hRule="exact" w:val="720"/>
              </w:trPr>
              <w:tc>
                <w:tcPr>
                  <w:tcW w:w="3960" w:type="dxa"/>
                  <w:shd w:val="clear" w:color="auto" w:fill="auto"/>
                </w:tcPr>
                <w:p w14:paraId="498F3030" w14:textId="77777777" w:rsidR="008F4905" w:rsidRDefault="008F4905" w:rsidP="00986EB0">
                  <w:pPr>
                    <w:pStyle w:val="BodyText3"/>
                    <w:rPr>
                      <w:sz w:val="18"/>
                      <w:szCs w:val="18"/>
                    </w:rPr>
                  </w:pPr>
                  <w:r w:rsidRPr="0084617D">
                    <w:rPr>
                      <w:sz w:val="18"/>
                      <w:szCs w:val="18"/>
                    </w:rPr>
                    <w:t>Authorized Countersignature</w:t>
                  </w:r>
                </w:p>
                <w:p w14:paraId="15387C41" w14:textId="77777777" w:rsidR="008F4905" w:rsidRDefault="008F4905" w:rsidP="00986EB0">
                  <w:pPr>
                    <w:pStyle w:val="BodyText3"/>
                    <w:rPr>
                      <w:sz w:val="18"/>
                      <w:szCs w:val="18"/>
                    </w:rPr>
                  </w:pPr>
                </w:p>
                <w:p w14:paraId="330382C9" w14:textId="77777777" w:rsidR="008F4905" w:rsidRPr="0084617D" w:rsidRDefault="008F4905" w:rsidP="00986EB0">
                  <w:pPr>
                    <w:pStyle w:val="BodyText3"/>
                    <w:rPr>
                      <w:sz w:val="18"/>
                      <w:szCs w:val="18"/>
                    </w:rPr>
                  </w:pPr>
                </w:p>
              </w:tc>
            </w:tr>
            <w:tr w:rsidR="008F4905" w:rsidRPr="0084617D" w14:paraId="02718431" w14:textId="77777777" w:rsidTr="00986EB0">
              <w:trPr>
                <w:cantSplit/>
                <w:trHeight w:hRule="exact" w:val="720"/>
              </w:trPr>
              <w:tc>
                <w:tcPr>
                  <w:tcW w:w="3960" w:type="dxa"/>
                  <w:tcBorders>
                    <w:bottom w:val="single" w:sz="4" w:space="0" w:color="auto"/>
                  </w:tcBorders>
                  <w:shd w:val="clear" w:color="auto" w:fill="auto"/>
                </w:tcPr>
                <w:p w14:paraId="7AFC2E9F" w14:textId="77777777" w:rsidR="008F4905" w:rsidRDefault="008F4905" w:rsidP="00986EB0">
                  <w:pPr>
                    <w:pStyle w:val="BodyText3"/>
                    <w:rPr>
                      <w:sz w:val="18"/>
                      <w:szCs w:val="18"/>
                    </w:rPr>
                  </w:pPr>
                  <w:r w:rsidRPr="0084617D">
                    <w:rPr>
                      <w:sz w:val="18"/>
                      <w:szCs w:val="18"/>
                    </w:rPr>
                    <w:t>Company Name</w:t>
                  </w:r>
                </w:p>
                <w:p w14:paraId="37957476" w14:textId="77777777" w:rsidR="008F4905" w:rsidRDefault="008F4905" w:rsidP="00986EB0">
                  <w:pPr>
                    <w:pStyle w:val="BodyText3"/>
                    <w:rPr>
                      <w:sz w:val="18"/>
                      <w:szCs w:val="18"/>
                    </w:rPr>
                  </w:pPr>
                </w:p>
                <w:p w14:paraId="7BA19F84" w14:textId="77777777" w:rsidR="008F4905" w:rsidRPr="0084617D" w:rsidRDefault="008F4905" w:rsidP="00986EB0">
                  <w:pPr>
                    <w:pStyle w:val="BodyText3"/>
                    <w:rPr>
                      <w:sz w:val="18"/>
                      <w:szCs w:val="18"/>
                    </w:rPr>
                  </w:pPr>
                </w:p>
              </w:tc>
            </w:tr>
            <w:tr w:rsidR="008F4905" w:rsidRPr="0084617D" w14:paraId="28A0DDBE" w14:textId="77777777" w:rsidTr="00986EB0">
              <w:trPr>
                <w:cantSplit/>
                <w:trHeight w:hRule="exact" w:val="720"/>
              </w:trPr>
              <w:tc>
                <w:tcPr>
                  <w:tcW w:w="3960" w:type="dxa"/>
                  <w:tcBorders>
                    <w:bottom w:val="nil"/>
                  </w:tcBorders>
                  <w:shd w:val="clear" w:color="auto" w:fill="auto"/>
                </w:tcPr>
                <w:p w14:paraId="57E8FB61" w14:textId="77777777" w:rsidR="008F4905" w:rsidRDefault="008F4905" w:rsidP="00986EB0">
                  <w:pPr>
                    <w:pStyle w:val="BodyText3"/>
                    <w:rPr>
                      <w:sz w:val="18"/>
                      <w:szCs w:val="18"/>
                    </w:rPr>
                  </w:pPr>
                  <w:r w:rsidRPr="0084617D">
                    <w:rPr>
                      <w:sz w:val="18"/>
                      <w:szCs w:val="18"/>
                    </w:rPr>
                    <w:t>City, State</w:t>
                  </w:r>
                </w:p>
                <w:p w14:paraId="20009F32" w14:textId="77777777" w:rsidR="008F4905" w:rsidRDefault="008F4905" w:rsidP="00986EB0">
                  <w:pPr>
                    <w:pStyle w:val="BodyText3"/>
                    <w:rPr>
                      <w:sz w:val="18"/>
                      <w:szCs w:val="18"/>
                    </w:rPr>
                  </w:pPr>
                </w:p>
                <w:p w14:paraId="52E7FB4F" w14:textId="77777777" w:rsidR="008F4905" w:rsidRPr="0084617D" w:rsidRDefault="008F4905" w:rsidP="00986EB0">
                  <w:pPr>
                    <w:pStyle w:val="BodyText3"/>
                    <w:rPr>
                      <w:sz w:val="18"/>
                      <w:szCs w:val="18"/>
                    </w:rPr>
                  </w:pPr>
                </w:p>
              </w:tc>
            </w:tr>
          </w:tbl>
          <w:p w14:paraId="3E6785E9" w14:textId="77777777" w:rsidR="008F4905" w:rsidRPr="00DB6F6B" w:rsidRDefault="008F4905" w:rsidP="00986EB0">
            <w:pPr>
              <w:tabs>
                <w:tab w:val="left" w:pos="2700"/>
              </w:tabs>
              <w:ind w:right="-513"/>
              <w:rPr>
                <w:rFonts w:ascii="Arial" w:hAnsi="Arial" w:cs="Arial"/>
                <w:b/>
                <w:bCs/>
                <w:sz w:val="20"/>
              </w:rPr>
            </w:pPr>
          </w:p>
        </w:tc>
        <w:tc>
          <w:tcPr>
            <w:tcW w:w="2250" w:type="dxa"/>
            <w:shd w:val="clear" w:color="auto" w:fill="auto"/>
          </w:tcPr>
          <w:p w14:paraId="248904DA" w14:textId="77777777" w:rsidR="008F4905" w:rsidRPr="00DB6F6B" w:rsidRDefault="008F4905" w:rsidP="00986EB0">
            <w:pPr>
              <w:tabs>
                <w:tab w:val="left" w:pos="2700"/>
              </w:tabs>
              <w:ind w:right="-513"/>
              <w:jc w:val="center"/>
              <w:rPr>
                <w:rFonts w:ascii="Arial" w:hAnsi="Arial" w:cs="Arial"/>
                <w:b/>
                <w:bCs/>
                <w:sz w:val="20"/>
              </w:rPr>
            </w:pPr>
          </w:p>
          <w:p w14:paraId="378BE46E" w14:textId="77777777" w:rsidR="008F4905" w:rsidRPr="00DB6F6B" w:rsidRDefault="008F4905" w:rsidP="00986EB0">
            <w:pPr>
              <w:tabs>
                <w:tab w:val="left" w:pos="2700"/>
              </w:tabs>
              <w:ind w:right="-513"/>
              <w:jc w:val="center"/>
              <w:rPr>
                <w:rFonts w:ascii="Arial" w:hAnsi="Arial" w:cs="Arial"/>
                <w:b/>
                <w:bCs/>
                <w:sz w:val="20"/>
              </w:rPr>
            </w:pPr>
            <w:r w:rsidRPr="00E965E3">
              <w:rPr>
                <w:noProof/>
              </w:rPr>
              <w:drawing>
                <wp:inline distT="0" distB="0" distL="0" distR="0" wp14:anchorId="29A5E393" wp14:editId="5C183F10">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CC72382" w14:textId="77777777" w:rsidR="008F4905" w:rsidRPr="00DB6F6B" w:rsidRDefault="008F4905" w:rsidP="00986EB0">
            <w:pPr>
              <w:tabs>
                <w:tab w:val="left" w:pos="2700"/>
              </w:tabs>
              <w:ind w:right="-513"/>
              <w:jc w:val="center"/>
              <w:rPr>
                <w:rFonts w:ascii="Arial" w:hAnsi="Arial" w:cs="Arial"/>
                <w:b/>
                <w:bCs/>
                <w:sz w:val="20"/>
              </w:rPr>
            </w:pPr>
          </w:p>
        </w:tc>
        <w:tc>
          <w:tcPr>
            <w:tcW w:w="3870" w:type="dxa"/>
            <w:shd w:val="clear" w:color="auto" w:fill="auto"/>
          </w:tcPr>
          <w:p w14:paraId="4EA9FA02" w14:textId="77777777" w:rsidR="008F4905" w:rsidRPr="00DB6F6B" w:rsidRDefault="008F4905" w:rsidP="00986EB0">
            <w:pPr>
              <w:tabs>
                <w:tab w:val="left" w:pos="2700"/>
              </w:tabs>
              <w:ind w:right="-513"/>
              <w:rPr>
                <w:rFonts w:ascii="Arial" w:hAnsi="Arial" w:cs="Arial"/>
                <w:b/>
                <w:bCs/>
                <w:sz w:val="20"/>
              </w:rPr>
            </w:pPr>
            <w:r w:rsidRPr="00E965E3">
              <w:rPr>
                <w:noProof/>
              </w:rPr>
              <w:drawing>
                <wp:inline distT="0" distB="0" distL="0" distR="0" wp14:anchorId="29383FA7" wp14:editId="6DEEA04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09151BAC"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9C89" w14:textId="77777777" w:rsidR="004E39B0" w:rsidRDefault="004E39B0" w:rsidP="004E39B0">
    <w:pPr>
      <w:pStyle w:val="Footer"/>
      <w:rPr>
        <w:rFonts w:ascii="Arial" w:hAnsi="Arial" w:cs="Arial"/>
        <w:sz w:val="16"/>
        <w:szCs w:val="20"/>
      </w:rPr>
    </w:pPr>
    <w:bookmarkStart w:id="0" w:name="_Toc170488859"/>
    <w:r w:rsidRPr="004E39B0">
      <w:rPr>
        <w:rFonts w:ascii="Arial" w:hAnsi="Arial" w:cs="Arial"/>
        <w:sz w:val="16"/>
        <w:szCs w:val="20"/>
      </w:rPr>
      <w:t>TIRSA Commercial Revolving Credit Endorsement for Commercial Credit Line Mortgages Which Secure a Maximum Principal Indebtedness of Less Than $3,000,000</w:t>
    </w:r>
    <w:bookmarkEnd w:id="0"/>
    <w:r>
      <w:rPr>
        <w:rFonts w:ascii="Arial" w:hAnsi="Arial" w:cs="Arial"/>
        <w:sz w:val="16"/>
        <w:szCs w:val="20"/>
      </w:rPr>
      <w:t xml:space="preserv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p>
  <w:p w14:paraId="2C5181FA" w14:textId="58A97231" w:rsidR="00B1616B" w:rsidRDefault="009C1E9F" w:rsidP="004E39B0">
    <w:pPr>
      <w:pStyle w:val="Footer"/>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1E1CE9"/>
    <w:rsid w:val="0020128A"/>
    <w:rsid w:val="00243203"/>
    <w:rsid w:val="002514DB"/>
    <w:rsid w:val="00287CB6"/>
    <w:rsid w:val="002B12D8"/>
    <w:rsid w:val="003411C7"/>
    <w:rsid w:val="00347D40"/>
    <w:rsid w:val="00375A2F"/>
    <w:rsid w:val="00384086"/>
    <w:rsid w:val="00385A93"/>
    <w:rsid w:val="003F22D8"/>
    <w:rsid w:val="004045CB"/>
    <w:rsid w:val="004152E9"/>
    <w:rsid w:val="00420B77"/>
    <w:rsid w:val="00432B64"/>
    <w:rsid w:val="004679D7"/>
    <w:rsid w:val="004942C4"/>
    <w:rsid w:val="00495FA4"/>
    <w:rsid w:val="00496CE3"/>
    <w:rsid w:val="004A72B5"/>
    <w:rsid w:val="004C563F"/>
    <w:rsid w:val="004E39B0"/>
    <w:rsid w:val="0052197C"/>
    <w:rsid w:val="006170FB"/>
    <w:rsid w:val="00621E90"/>
    <w:rsid w:val="00625311"/>
    <w:rsid w:val="00656E40"/>
    <w:rsid w:val="006967D2"/>
    <w:rsid w:val="006B26FC"/>
    <w:rsid w:val="00716AA5"/>
    <w:rsid w:val="00725E59"/>
    <w:rsid w:val="007549BE"/>
    <w:rsid w:val="007D0309"/>
    <w:rsid w:val="007E3DF9"/>
    <w:rsid w:val="007F6995"/>
    <w:rsid w:val="00803117"/>
    <w:rsid w:val="0080345E"/>
    <w:rsid w:val="0080636C"/>
    <w:rsid w:val="00817DC5"/>
    <w:rsid w:val="0085288B"/>
    <w:rsid w:val="00865299"/>
    <w:rsid w:val="00870B23"/>
    <w:rsid w:val="00872C2F"/>
    <w:rsid w:val="008D7503"/>
    <w:rsid w:val="008E41CD"/>
    <w:rsid w:val="008F4905"/>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E00CF"/>
    <w:rsid w:val="00EF42CE"/>
    <w:rsid w:val="00F078AF"/>
    <w:rsid w:val="00F43DE5"/>
    <w:rsid w:val="00F61F8F"/>
    <w:rsid w:val="00F83150"/>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2024-08-21T17:36:00Z</dcterms:created>
  <dcterms:modified xsi:type="dcterms:W3CDTF">2024-10-21T16:05:00Z</dcterms:modified>
</cp:coreProperties>
</file>